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rPr/>
      </w:pPr>
      <w:r>
        <w:rPr>
          <w:rFonts w:cs="Verdana" w:ascii="Verdana" w:hAnsi="Verdana"/>
          <w:sz w:val="24"/>
          <w:szCs w:val="24"/>
          <w:lang w:eastAsia="pl-PL"/>
        </w:rPr>
        <w:t xml:space="preserve">Rozkład materiału do podręcznika: </w:t>
      </w:r>
      <w:r>
        <w:rPr>
          <w:rFonts w:cs="Verdana" w:ascii="Verdana" w:hAnsi="Verdana"/>
          <w:b/>
          <w:i/>
          <w:sz w:val="24"/>
          <w:szCs w:val="24"/>
          <w:lang w:eastAsia="pl-PL"/>
        </w:rPr>
        <w:t>Mit links! 2</w:t>
      </w:r>
    </w:p>
    <w:p>
      <w:pPr>
        <w:pStyle w:val="Normal"/>
        <w:spacing w:lineRule="auto" w:line="240" w:before="280" w:after="280"/>
        <w:rPr>
          <w:rFonts w:ascii="Verdana" w:hAnsi="Verdana" w:cs="Verdana"/>
          <w:sz w:val="24"/>
          <w:szCs w:val="24"/>
          <w:lang w:eastAsia="pl-PL"/>
        </w:rPr>
      </w:pPr>
      <w:r>
        <w:rPr>
          <w:rFonts w:cs="Verdana" w:ascii="Verdana" w:hAnsi="Verdana"/>
          <w:sz w:val="24"/>
          <w:szCs w:val="24"/>
          <w:lang w:eastAsia="pl-PL"/>
        </w:rPr>
        <w:t>Etap edukacyjny: II.2, klasa 8</w:t>
      </w:r>
    </w:p>
    <w:p>
      <w:pPr>
        <w:pStyle w:val="Normal"/>
        <w:spacing w:lineRule="auto" w:line="240" w:before="280" w:after="280"/>
        <w:rPr>
          <w:rFonts w:ascii="Verdana" w:hAnsi="Verdana" w:cs="Verdana"/>
          <w:sz w:val="24"/>
          <w:szCs w:val="24"/>
          <w:lang w:eastAsia="pl-PL"/>
        </w:rPr>
      </w:pPr>
      <w:r>
        <w:rPr>
          <w:rFonts w:cs="Verdana" w:ascii="Verdana" w:hAnsi="Verdana"/>
          <w:sz w:val="24"/>
          <w:szCs w:val="24"/>
          <w:lang w:eastAsia="pl-PL"/>
        </w:rPr>
        <w:t>Poziom: A1</w:t>
      </w:r>
    </w:p>
    <w:p>
      <w:pPr>
        <w:pStyle w:val="Normal"/>
        <w:spacing w:lineRule="auto" w:line="240" w:before="280" w:after="280"/>
        <w:rPr>
          <w:rFonts w:ascii="Verdana" w:hAnsi="Verdana" w:cs="Verdana"/>
          <w:sz w:val="24"/>
          <w:szCs w:val="24"/>
          <w:lang w:eastAsia="pl-PL"/>
        </w:rPr>
      </w:pPr>
      <w:r>
        <w:rPr>
          <w:rFonts w:cs="Verdana" w:ascii="Verdana" w:hAnsi="Verdana"/>
          <w:sz w:val="24"/>
          <w:szCs w:val="24"/>
          <w:lang w:eastAsia="pl-PL"/>
        </w:rPr>
        <w:t>Liczba godzin: 60</w:t>
      </w:r>
    </w:p>
    <w:p>
      <w:pPr>
        <w:pStyle w:val="Normal"/>
        <w:spacing w:lineRule="auto" w:line="240" w:before="280" w:after="280"/>
        <w:rPr>
          <w:rFonts w:ascii="Verdana" w:hAnsi="Verdana" w:cs="Verdana"/>
          <w:sz w:val="24"/>
          <w:szCs w:val="24"/>
          <w:lang w:eastAsia="pl-PL"/>
        </w:rPr>
      </w:pPr>
      <w:r>
        <w:rPr>
          <w:rFonts w:cs="Verdana"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="280" w:after="280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  <w:t xml:space="preserve">Wstęp </w:t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</w:rPr>
        <w:t xml:space="preserve">Zaprezentowany rozkład materiału należy traktować jako propozycję realizacji materiału. Założono tu realizację tomu </w:t>
      </w:r>
      <w:r>
        <w:rPr>
          <w:rFonts w:cs="Verdana" w:ascii="Verdana" w:hAnsi="Verdana"/>
          <w:b/>
          <w:i/>
          <w:sz w:val="24"/>
          <w:szCs w:val="24"/>
        </w:rPr>
        <w:t>Mit links! 2</w:t>
      </w:r>
      <w:r>
        <w:rPr>
          <w:rFonts w:cs="Verdana" w:ascii="Verdana" w:hAnsi="Verdana"/>
          <w:b/>
          <w:sz w:val="24"/>
          <w:szCs w:val="24"/>
        </w:rPr>
        <w:t xml:space="preserve"> </w:t>
      </w:r>
      <w:r>
        <w:rPr>
          <w:rFonts w:cs="Verdana" w:ascii="Verdana" w:hAnsi="Verdana"/>
          <w:sz w:val="24"/>
          <w:szCs w:val="24"/>
        </w:rPr>
        <w:t>na 60 godzinach lekcyjnych. Nauczyciel ma możliwość innego rozpisania jednostek lekcyjnych</w:t>
        <w:br/>
        <w:t>w zależności od potrzeb i możliwości uczniów.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Verdana" w:ascii="Verdana" w:hAnsi="Verdana"/>
          <w:b/>
          <w:bCs/>
          <w:sz w:val="24"/>
          <w:szCs w:val="24"/>
          <w:lang w:eastAsia="pl-PL"/>
        </w:rPr>
        <w:t>Podręcznik</w:t>
      </w:r>
      <w:r>
        <w:rPr>
          <w:rFonts w:cs="Verdana" w:ascii="Verdana" w:hAnsi="Verdana"/>
          <w:bCs/>
          <w:sz w:val="24"/>
          <w:szCs w:val="24"/>
          <w:lang w:eastAsia="pl-PL"/>
        </w:rPr>
        <w:t xml:space="preserve"> (KB) składa się z pięciu rozdziałów tematycznych. Na końcu każdego rozdziału znajduje się podsumowanie słownictwa (</w:t>
      </w:r>
      <w:r>
        <w:rPr>
          <w:rFonts w:cs="Verdana" w:ascii="Verdana" w:hAnsi="Verdana"/>
          <w:bCs/>
          <w:i/>
          <w:sz w:val="24"/>
          <w:szCs w:val="24"/>
          <w:lang w:eastAsia="pl-PL"/>
        </w:rPr>
        <w:t>Wortschatzkiste</w:t>
      </w:r>
      <w:r>
        <w:rPr>
          <w:rFonts w:cs="Verdana" w:ascii="Verdana" w:hAnsi="Verdana"/>
          <w:bCs/>
          <w:sz w:val="24"/>
          <w:szCs w:val="24"/>
          <w:lang w:eastAsia="pl-PL"/>
        </w:rPr>
        <w:t>) i zwrotów komunikacyjnych (</w:t>
      </w:r>
      <w:r>
        <w:rPr>
          <w:rFonts w:cs="Verdana" w:ascii="Verdana" w:hAnsi="Verdana"/>
          <w:bCs/>
          <w:i/>
          <w:sz w:val="24"/>
          <w:szCs w:val="24"/>
          <w:lang w:eastAsia="pl-PL"/>
        </w:rPr>
        <w:t>Nützliche Wendungen</w:t>
      </w:r>
      <w:r>
        <w:rPr>
          <w:rFonts w:cs="Verdana" w:ascii="Verdana" w:hAnsi="Verdana"/>
          <w:bCs/>
          <w:sz w:val="24"/>
          <w:szCs w:val="24"/>
          <w:lang w:eastAsia="pl-PL"/>
        </w:rPr>
        <w:t xml:space="preserve">) przewidzianych do wykorzystania na lekcji i w domu. </w:t>
      </w:r>
      <w:r>
        <w:rPr>
          <w:rFonts w:cs="Humnst777EU-Normal;Times New Roman" w:ascii="Verdana" w:hAnsi="Verdana"/>
          <w:sz w:val="24"/>
          <w:szCs w:val="24"/>
        </w:rPr>
        <w:t>Do podręcznika została dołączona płyta z nagraniami w formacie MP3 obejmującymi materiał z podręcznika i zeszytu ćwiczeń.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erdana" w:hAnsi="Verdana" w:cs="Verdana"/>
          <w:bCs/>
          <w:sz w:val="24"/>
          <w:szCs w:val="24"/>
          <w:lang w:eastAsia="pl-PL"/>
        </w:rPr>
      </w:pPr>
      <w:r>
        <w:rPr>
          <w:rFonts w:cs="Verdana" w:ascii="Verdana" w:hAnsi="Verdana"/>
          <w:bCs/>
          <w:sz w:val="24"/>
          <w:szCs w:val="24"/>
          <w:lang w:eastAsia="pl-PL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Verdana" w:ascii="Verdana" w:hAnsi="Verdana"/>
          <w:bCs/>
          <w:sz w:val="24"/>
          <w:szCs w:val="24"/>
          <w:lang w:eastAsia="pl-PL"/>
        </w:rPr>
        <w:t xml:space="preserve">W </w:t>
      </w:r>
      <w:r>
        <w:rPr>
          <w:rFonts w:cs="Verdana" w:ascii="Verdana" w:hAnsi="Verdana"/>
          <w:b/>
          <w:bCs/>
          <w:sz w:val="24"/>
          <w:szCs w:val="24"/>
          <w:lang w:eastAsia="pl-PL"/>
        </w:rPr>
        <w:t>zeszycie ćwiczeń</w:t>
      </w:r>
      <w:r>
        <w:rPr>
          <w:rFonts w:cs="Verdana" w:ascii="Verdana" w:hAnsi="Verdana"/>
          <w:bCs/>
          <w:sz w:val="24"/>
          <w:szCs w:val="24"/>
          <w:lang w:eastAsia="pl-PL"/>
        </w:rPr>
        <w:t xml:space="preserve"> (AH) są moduły </w:t>
      </w:r>
      <w:r>
        <w:rPr>
          <w:rFonts w:cs="Humnst777BlkEU-Normal" w:ascii="Verdana" w:hAnsi="Verdana"/>
          <w:i/>
          <w:sz w:val="24"/>
          <w:szCs w:val="24"/>
        </w:rPr>
        <w:t>Wiederholung</w:t>
      </w:r>
      <w:r>
        <w:rPr>
          <w:rFonts w:cs="Humnst777BlkEU-Italic;Arial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;Times New Roman" w:ascii="Verdana" w:hAnsi="Verdana"/>
          <w:sz w:val="24"/>
          <w:szCs w:val="24"/>
        </w:rPr>
        <w:t xml:space="preserve">pomyślane jako zadania utrwalające – materiał do wykonania po zakończeniu pracy z całym rozdziałem. W części </w:t>
      </w:r>
      <w:r>
        <w:rPr>
          <w:rFonts w:cs="Humnst777EU-Italic;Arial" w:ascii="Verdana" w:hAnsi="Verdana"/>
          <w:i/>
          <w:iCs/>
          <w:sz w:val="24"/>
          <w:szCs w:val="24"/>
        </w:rPr>
        <w:t>Grammatik</w:t>
      </w:r>
      <w:r>
        <w:rPr>
          <w:rFonts w:cs="Humnst777EU-Italic;Arial" w:ascii="Verdana" w:hAnsi="Verdana"/>
          <w:iCs/>
          <w:sz w:val="24"/>
          <w:szCs w:val="24"/>
        </w:rPr>
        <w:t xml:space="preserve"> </w:t>
      </w:r>
      <w:r>
        <w:rPr>
          <w:rFonts w:cs="Humnst777EU-Italic;Arial" w:ascii="Verdana" w:hAnsi="Verdana"/>
          <w:i/>
          <w:iCs/>
          <w:sz w:val="24"/>
          <w:szCs w:val="24"/>
        </w:rPr>
        <w:t xml:space="preserve">znajdują się </w:t>
      </w:r>
      <w:r>
        <w:rPr>
          <w:rFonts w:cs="Humnst777EU-Normal;Times New Roman" w:ascii="Verdana" w:hAnsi="Verdana"/>
          <w:sz w:val="24"/>
          <w:szCs w:val="24"/>
        </w:rPr>
        <w:t xml:space="preserve">dodatkowe zadania pozwalające utrwalić zagadnienia gramatyczne zaprezentowane w danej części podręcznika.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Verdana" w:ascii="Verdana" w:hAnsi="Verdana"/>
          <w:b/>
          <w:bCs/>
          <w:sz w:val="24"/>
          <w:szCs w:val="24"/>
          <w:lang w:eastAsia="pl-PL"/>
        </w:rPr>
        <w:t>Książka nauczyciela</w:t>
      </w:r>
      <w:r>
        <w:rPr>
          <w:rFonts w:cs="Verdana" w:ascii="Verdana" w:hAnsi="Verdana"/>
          <w:bCs/>
          <w:sz w:val="24"/>
          <w:szCs w:val="24"/>
          <w:lang w:eastAsia="pl-PL"/>
        </w:rPr>
        <w:t xml:space="preserve"> (LHB) może pełnić rolę podręcznika, co ułatwia prowadzenie zajęć. Strony z podręcznika są pomniejszone, zawierają odpowiedzi do zadań, odnośniki do zeszytu ćwiczeń oraz informacje na temat zawartości innych komponentów, które mogą być wykorzystane w czasie lekcji. Do książki nauczyciela dołączono dwie płyty audio z kompletem nagrań.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erdana" w:hAnsi="Verdana" w:cs="Humnst777BlkEU-Normal"/>
          <w:b/>
          <w:b/>
          <w:sz w:val="24"/>
          <w:szCs w:val="24"/>
        </w:rPr>
      </w:pPr>
      <w:r>
        <w:rPr>
          <w:rFonts w:cs="Humnst777BlkEU-Normal" w:ascii="Verdana" w:hAnsi="Verdana"/>
          <w:b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Humnst777BlkEU-Normal" w:ascii="Verdana" w:hAnsi="Verdana"/>
          <w:b/>
          <w:sz w:val="24"/>
          <w:szCs w:val="24"/>
        </w:rPr>
        <w:t>Cyfrowa Biblioteka Nauczyciela</w:t>
      </w:r>
      <w:r>
        <w:rPr>
          <w:rFonts w:cs="Humnst777BlkEU-Normal" w:ascii="Verdana" w:hAnsi="Verdana"/>
          <w:sz w:val="24"/>
          <w:szCs w:val="24"/>
        </w:rPr>
        <w:t xml:space="preserve"> jest dostępna </w:t>
      </w:r>
      <w:r>
        <w:rPr>
          <w:rFonts w:cs="Humnst777EU-Normal;Times New Roman" w:ascii="Verdana" w:hAnsi="Verdana"/>
          <w:sz w:val="24"/>
          <w:szCs w:val="24"/>
        </w:rPr>
        <w:t xml:space="preserve">w formie aplikacji </w:t>
      </w:r>
      <w:r>
        <w:rPr>
          <w:rFonts w:cs="Humnst777EU-Italic;Arial" w:ascii="Verdana" w:hAnsi="Verdana"/>
          <w:b/>
          <w:i/>
          <w:iCs/>
          <w:sz w:val="24"/>
          <w:szCs w:val="24"/>
        </w:rPr>
        <w:t>ePanel</w:t>
      </w:r>
      <w:r>
        <w:rPr>
          <w:rFonts w:cs="Humnst777EU-Italic;Arial" w:ascii="Verdana" w:hAnsi="Verdana"/>
          <w:iCs/>
          <w:sz w:val="24"/>
          <w:szCs w:val="24"/>
        </w:rPr>
        <w:t xml:space="preserve"> do pobrania</w:t>
      </w:r>
      <w:r>
        <w:rPr>
          <w:rFonts w:cs="Humnst777EU-Italic;Arial" w:ascii="Verdana" w:hAnsi="Verdana"/>
          <w:i/>
          <w:iCs/>
          <w:sz w:val="24"/>
          <w:szCs w:val="24"/>
        </w:rPr>
        <w:t xml:space="preserve"> </w:t>
      </w:r>
      <w:r>
        <w:rPr>
          <w:rFonts w:cs="Humnst777EU-Italic;Arial" w:ascii="Verdana" w:hAnsi="Verdana"/>
          <w:iCs/>
          <w:sz w:val="24"/>
          <w:szCs w:val="24"/>
        </w:rPr>
        <w:t>ze strony</w:t>
      </w:r>
      <w:r>
        <w:rPr>
          <w:rFonts w:cs="Humnst777EU-Italic;Arial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;Times New Roman" w:ascii="Verdana" w:hAnsi="Verdana"/>
          <w:sz w:val="24"/>
          <w:szCs w:val="24"/>
        </w:rPr>
        <w:t>www.pearson.pl/niemiecki/epanel.</w:t>
      </w:r>
      <w:r>
        <w:rPr>
          <w:rFonts w:cs="Humnst777EU-Italic;Arial" w:ascii="Verdana" w:hAnsi="Verdana"/>
          <w:i/>
          <w:iCs/>
          <w:sz w:val="24"/>
          <w:szCs w:val="24"/>
        </w:rPr>
        <w:t xml:space="preserve"> </w:t>
      </w:r>
      <w:r>
        <w:rPr>
          <w:rFonts w:cs="Humnst777EU-Italic;Arial" w:ascii="Verdana" w:hAnsi="Verdana"/>
          <w:iCs/>
          <w:sz w:val="24"/>
          <w:szCs w:val="24"/>
        </w:rPr>
        <w:t>To</w:t>
      </w:r>
      <w:r>
        <w:rPr>
          <w:rFonts w:cs="Humnst777EU-Italic;Arial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;Times New Roman" w:ascii="Verdana" w:hAnsi="Verdana"/>
          <w:sz w:val="24"/>
          <w:szCs w:val="24"/>
        </w:rPr>
        <w:t xml:space="preserve">wszystkie materiały potrzebne do prowadzenia lekcji: podręcznik, zeszyt ćwiczeń, książka nauczyciela, nagrania, dokumentacja szkolna, testy oraz materiały uzupełniające, w tym filmy kulturoznawcze wraz z kartami pracy, zestawy zadań indywidualizujących pracę z uczniem oraz gry i zabawy językowe. W ramach kompleksowego </w:t>
      </w:r>
      <w:r>
        <w:rPr>
          <w:rFonts w:cs="Humnst777EU-Normal;Times New Roman" w:ascii="Verdana" w:hAnsi="Verdana"/>
          <w:b/>
          <w:sz w:val="24"/>
          <w:szCs w:val="24"/>
        </w:rPr>
        <w:t>systemu testowania</w:t>
      </w:r>
      <w:r>
        <w:rPr>
          <w:rFonts w:cs="Humnst777EU-Normal;Times New Roman" w:ascii="Verdana" w:hAnsi="Verdana"/>
          <w:sz w:val="24"/>
          <w:szCs w:val="24"/>
        </w:rPr>
        <w:t xml:space="preserve"> </w:t>
      </w:r>
      <w:r>
        <w:rPr>
          <w:rFonts w:cs="Humnst777EU-Normal;Times New Roman" w:ascii="Verdana" w:hAnsi="Verdana"/>
          <w:b/>
          <w:sz w:val="24"/>
          <w:szCs w:val="24"/>
        </w:rPr>
        <w:t>i oceniania</w:t>
      </w:r>
      <w:r>
        <w:rPr>
          <w:rFonts w:cs="Humnst777EU-Normal;Times New Roman" w:ascii="Verdana" w:hAnsi="Verdana"/>
          <w:sz w:val="24"/>
          <w:szCs w:val="24"/>
        </w:rPr>
        <w:t xml:space="preserve"> do dyspozycji nauczyciela są klasówki oraz zestaw kartkówek. Wszystkie materiały testujące zostały opracowane w wersjach dla dwóch grup.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erdana" w:hAnsi="Verdana" w:cs="Verdana"/>
          <w:bCs/>
          <w:sz w:val="24"/>
          <w:szCs w:val="24"/>
          <w:lang w:eastAsia="pl-PL"/>
        </w:rPr>
      </w:pPr>
      <w:r>
        <w:rPr>
          <w:rFonts w:cs="Verdana" w:ascii="Verdana" w:hAnsi="Verdana"/>
          <w:bCs/>
          <w:sz w:val="24"/>
          <w:szCs w:val="24"/>
          <w:lang w:eastAsia="pl-PL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Verdana" w:ascii="Verdana" w:hAnsi="Verdana"/>
          <w:bCs/>
          <w:sz w:val="24"/>
          <w:szCs w:val="24"/>
          <w:lang w:eastAsia="pl-PL"/>
        </w:rPr>
        <w:t xml:space="preserve">Nauczyciel może skorzystać również z cyfrowej wersji podręcznika </w:t>
      </w:r>
      <w:r>
        <w:rPr>
          <w:rFonts w:cs="Verdana" w:ascii="Verdana" w:hAnsi="Verdana"/>
          <w:b/>
          <w:bCs/>
          <w:i/>
          <w:sz w:val="24"/>
          <w:szCs w:val="24"/>
          <w:lang w:eastAsia="pl-PL"/>
        </w:rPr>
        <w:t>AktivLehrer</w:t>
      </w:r>
      <w:r>
        <w:rPr>
          <w:rFonts w:cs="Verdana" w:ascii="Verdana" w:hAnsi="Verdana"/>
          <w:bCs/>
          <w:sz w:val="24"/>
          <w:szCs w:val="24"/>
          <w:lang w:eastAsia="pl-PL"/>
        </w:rPr>
        <w:t xml:space="preserve">, którą wyświetla się na tablicy interaktywnej.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erdana" w:hAnsi="Verdana" w:cs="Verdana"/>
          <w:bCs/>
          <w:sz w:val="24"/>
          <w:szCs w:val="24"/>
          <w:lang w:eastAsia="pl-PL"/>
        </w:rPr>
      </w:pPr>
      <w:r>
        <w:rPr>
          <w:rFonts w:cs="Verdana" w:ascii="Verdana" w:hAnsi="Verdan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4"/>
          <w:szCs w:val="24"/>
          <w:lang w:eastAsia="pl-PL"/>
        </w:rPr>
      </w:pPr>
      <w:r>
        <w:rPr>
          <w:rFonts w:cs="Verdana" w:ascii="Verdana" w:hAnsi="Verdana"/>
          <w:b/>
          <w:bCs/>
          <w:sz w:val="24"/>
          <w:szCs w:val="24"/>
          <w:lang w:eastAsia="pl-PL"/>
        </w:rPr>
      </w:r>
    </w:p>
    <w:p>
      <w:pPr>
        <w:pStyle w:val="Normal"/>
        <w:spacing w:lineRule="atLeast" w:line="253"/>
        <w:rPr>
          <w:rFonts w:ascii="Verdana" w:hAnsi="Verdana" w:cs="Calibri"/>
          <w:sz w:val="16"/>
          <w:szCs w:val="16"/>
          <w:lang w:eastAsia="pl-PL"/>
        </w:rPr>
      </w:pPr>
      <w:r>
        <w:rPr>
          <w:rFonts w:cs="Calibri" w:ascii="Verdana" w:hAnsi="Verdana"/>
          <w:sz w:val="16"/>
          <w:szCs w:val="16"/>
          <w:lang w:eastAsia="pl-PL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W w:w="14240" w:type="dxa"/>
        <w:jc w:val="lef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4"/>
        <w:gridCol w:w="1379"/>
        <w:gridCol w:w="2268"/>
        <w:gridCol w:w="2126"/>
        <w:gridCol w:w="1418"/>
        <w:gridCol w:w="3543"/>
        <w:gridCol w:w="1464"/>
        <w:gridCol w:w="1328"/>
      </w:tblGrid>
      <w:tr>
        <w:trPr/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Temat lekcji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3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Gramatyka/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Fonetyka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C000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 co będziemy zwracać uwagę - wymagania edukacyjne, zapoznanie z PSO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3-8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Hits im Alltag. Hity na co dzień.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wyrażenia związane z muzyką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artykuł na temat popularnej piosenkarki, znajduje w nim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ustne na temat wykonawców muzycznych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I.9 (uczestnictwo w kulturze, dziedziny kultury); III.2, III.4; IV.1, IV.5, IV.6; IX.1; X; XI; XII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1-6/4, 7-11/5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9-11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Lena im Interview. Wywiad z Leną.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wyrażania radości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zwrotne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wywiad i znajduje w nim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wolnego), I.9 (uczestnictwo w kulturze, dziedziny kultury); II.5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1-3/7, 1/56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1-7/6, 8/77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12-13, 80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Lena im Interview. Wywiad z Leną.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wyrażania radości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ustne na temat upodobań związanych z muzyką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upodobań muzycznych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 (formy spędzania czasu wolnego), I.9 (uczestnictwo w kulturze, dziedziny kultury); IV.1, IV.5, IV.6; VI.3; VIII.2; XI; XII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4-6/7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8-12/7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12-13, 80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Tagesablauf. Przebieg dnia.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opisywania przebiegu dnia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złożone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wypowiedź pisemną na temat przebiegu dnia i znajduje w niej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(czynności życia codziennego); III.4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1-2/8, 2/56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1-5/8, 7/77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14-15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Tagesablauf. Przebieg dnia.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opisywania przebiegu dnia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pisemne na temat czynności życia codziennego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przebiegu dnia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I.5 (czynności życia codziennego);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V.1; VI.3; XI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3-5/8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1-6/8, 6-11/9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14-15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Pflichten im Haushalt. Obowiązki domowe.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nazywania obowiązków domowych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obowiązków domowych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ustne i pisemne na temat obowiązków domowych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o obowiązkach domowych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I.2 (prace domowe); I.5 (czynności życia codziennego); II.5; IV.1, IV.4; V.1, V.5; VI.3, VI.5;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1-6/10, 7-11/11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16-17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Jahreszeiten. Pory roku.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pór roku i zjawisk atmosferycznych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pór roku i zjawisk atmosferycznych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ustne i pisemne na temat pór roku i pogody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i porach roku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I.12 (pogoda, pory roku);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II.2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IV.4; VI.3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; VII.3; VIII.1; XI; XIV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1-7/12, 9-12/13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18-19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Endlich Winter. Wreszcie zima.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składania, przyjmowania i odrzucania propozycji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czasowniki modalne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müssen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i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können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temat spędzania czasu wolnego, znajduje w wypowiedziach pisemnych i ustnych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sposobów spędzania czasu wolnego, przyjmuje odrzuca i składa propozycje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wolnego); II.5, III.4; VI.3; X; XI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1-4/11, 3/56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1-6/14, 7-12/15, 10/78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20-21, 80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Einen Blogbeitrag schreiben. / Przygotowanie wpisu na blogu internetowym.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opisywanie obowiązków domowych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czasowniki złożone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czasownik modalny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müssen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informacje na blogach internetowych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potrafi napisać tekst na blogu internetowym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w formie pisemnej komentuje wpisy na blogach swoich rówieśników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opowiada o przeczytanym wpisie na blogu internetowym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I.2 (prace domowe); I.5 (czynności życia codziennego); III.2, III.4; IV.2, IV.4, IV.6; V.2, V.4, V.6; VI.3; VII.1, VII.5; VIII.2; X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1-6/12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22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Przygotowanie do testu sprawdzającego - powtórzenie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13-14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16-17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Test sprawdzający nr 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Alltag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Omówienie testu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Womit kommst du zur Schule?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Czym przyjeżdżasz do szkoły?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środków transportu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odmiana rzeczowników w celowniku po przyimku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mit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forum na temat środków komunikacji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(czynności życia codziennego), I.8 (środki transportu i korzystanie z nich); III.4; VIII.1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1-3/16, 4/57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1-5/18, 13, 14/80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23-25, 81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Womit kommst du zur Schule?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Czym przyjeżdżasz do szkoły?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środków transportu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środków transportu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I.8 (środki transportu); VI.3;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4-5/16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6-10/19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23-25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Lieblingsverkehrsmittel. Ulubione środki transportu.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podawania zalet i wad środków transportu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wypowiedź pisemną na temat kolejki w Wuppertalu i znajduje w niej określone informacje, uczeń rozumie wypowiedzi ustne na temat środków transportu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ustne i pisemne na temat wad i zalet środków transportu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wad i zalet środków transportu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I.8 (środki transportu i korzystanie z nich); II.5; III.4; IV.4; V.1, V.4; VI.3, VI.4; VIII.2; X,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1-7/20,8-11/21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26-27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Wie komme ich zur Schule?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Jak dotrę do szkoły?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miejsc w mieście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przyimek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zu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opis drogi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drogę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dowiaduje się, jak dojść do celu i udziela informacji na ten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zawarte w materiałach wizualnych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I.8 (orientacja w terenie); II.5; IV.1; VI.3; VIII.1; X; XII; XIV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1-6/18, 5/57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1-5/22, 6-10/23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29-29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Wohin gehen wir nach der Schule?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Dokąd pójdziemy po szkole?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określenia położenia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przyimek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in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z biernikiem i celownikiem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pisemne na temat sposobu spędzania czasu wolnego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wolnego); III.4; VIII.1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1-3/19, 6/57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1-5/24, 74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30-31, 82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Wohin gehen wir nach der Schule?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Dokąd pójdziemy po szkole?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określenia położenia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spędzania czasu wolnego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pisemne, uzasadnia swoje preferencje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sposobów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wolnego); II.5; V.1; VI.2, VI.9;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4-5/19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6-11/25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30-31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Wohnort. Moje miejsce zamieszkania.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miejsca zamieszkania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forum dotyczące miejsca zamieszkania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ustnie i pisemnie miejsce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miejsca zamieszkania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I.2 (miejsce zamieszkania, opis domu); III.2, III.4; IV.1, IV.4; V.5; VII.1;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1-6/26, 7-11/27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32-33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Stadt- und Landleben. Życie na wsi i w mieście.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elementów krajobrazu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krajobrazu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ustnie i pisemnie krajobraz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miejsca zamieszkania i okolicy tego miejsca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I.12 (krajobraz); II.3, II.5; IV.1; V.1; VI.3, VI.4; VIII.1; X; XI; XIII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1-5/28, 6-10/29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34-35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val="de-DE"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val="de-DE" w:eastAsia="pl-PL"/>
              </w:rPr>
              <w:t>Eine SMS schreiben. / Pisanie SMS-a.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opisywanie obowiązków domowych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przyimki z celownikiem i biernikiem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treść SMS-ów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potrafi napisać SMS-a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w formie pisemnej reaguje na treść otrzymanego SMS-a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pisze SMS-a na podstawie wzoru w języku polskim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(rodzina, znajomi, przyjaciele, czynności życia codziennego, określanie czasu, formy spędzania czasu wolnego); III.2, III.4; V.3, V.4, V.6; VII.5, VII.8, VII.9, VII.10, VII.11, VII.12; VIII.3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1-5/22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22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Przygotowanie do testu sprawdzającego - powtórzenie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23-24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30-31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Test sprawdzający nr 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 Wohnort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Omówienie testu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Wir essen gemeinsam. Jemy wspólnie.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artykułów spożywczych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posiłków i znajduje w nich określone informacje i określa główną myśl tekstu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pisemne na temat artykułów spożywczych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posiłków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(artykuły spożywcze, posiłki); II.2, II.5; V.1; VI.9; VIII.1; X; XI; XIV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1-4/32, 5-10/33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37-39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Was darf's denn sein? Co podać?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prowadzenia rozmów w sklepie spożywczym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określenia miary i wagi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artykułów spożywczych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podczas zakupu artykułów spożywczych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(artykuły spożywcze), I.7 (towary, sprzedawanie i kupowanie); II.5; III.4; IV.7; VI.3;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1-5/34, 6-9/35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40-41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Essgewohnheiten. Nawyki żywieniowe.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nawyków żywieniowych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stopniowanie przymiotników i przysłówków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artykuł na temat nawyków żywieniowych i znajduje w nim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na temat nawyków żywieniowych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nawyków żywieniowych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(artykuły spożywcze, posiłki); III.1, III.4; IV.1, IV.4; VI.3, VI.4, VII.3; XI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1-6/28, 8/58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1-3/36, 5-10/37, 5/76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42-43, 82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Süß oder sauer? Słodkie czy kwaśne?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preferencji żywieniowych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zaimki osobowe w celowniku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na temat preferencji żywieniowych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ustnie preferencje żywieniowe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preferencji żywieniowych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(artykuły spożywcze, posiłki); II.5; IV.1, IV.4; VI.3, VI.5, VII.3; VIII.1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1-5/29, 9/59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1-6/38, 7-9/39, 4/75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44-45, 84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Mahlzeiten. Posiłki.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czynności przy przygotowywaniu potraw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zdanie okolicznikowe przyczyny ze spójnikiem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weil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wpisy na forum na temat przygotowywania potraw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przygotowywania potraw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(artykuły spożywcze, posiłki); III.4; IV.1, IV.2, IV.4; V.1; VI.1, VI.4; XI; XIII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1-6/30; 10/59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1-5/40, 6-9/41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46-47, 84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Die Speisekarte, bitte. Proszę menu.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potraw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kartę dań i znajduje w niej określone informacje, uczeń rozumie wypowiedzi ustne na temat dań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w restauracji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I.6 (posiłki, lokale gastronomiczne); II.5; VI.4, VI.5;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1-5/31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1-5/42, 6-10/43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48-49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val="de-DE"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val="de-DE" w:eastAsia="pl-PL"/>
              </w:rPr>
              <w:t>Eine Einladung schreiben. / Pisanie zaproszenia.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słownictwo związane z obchodzeniem urodzin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czasowniki złożone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treść zaproszenia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potrafi napisać zaproszenie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pisze zaproszenie na podstawie wzoru w języku polskim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(rodzina, znajomi, przyjaciele, formy spędzania czasu wolnego, urodziny, święta); III.4, III.5; IV.1, IV.2, IV.3, IV.4; V.1, V.2, V.3, V.4; VIII.2, VIII3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1-7/32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22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Przygotowanie do testu sprawdzającego - powtórzenie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33-34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44-45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Test sprawdzający nr 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Essen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Omówienie testu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Ich habe Bauchschmerzen. Boli mnie brzuch.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części ciała i dolegliwości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temat dolegliwości i znajduje w nich określone informacje oraz określa główną myśl tekstu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formułuje wymówki i tworzy wypowiedzi pisemne na temat dolegliwości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dolegliwości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I.11 (samopoczucie, choroby, ich objawy); II.1, II.5; IV.1, IV.2; V.1; VI.3; VIII.1; X; XI; XIV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1-5/36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1-5/46, 6-11/47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51-53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Beim Arzt. U lekarza.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prowadzenia rozmowy podczas badania lekarskiego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czasowniki modalne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dürfen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wollen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i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sollen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temat dolegliwości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badanie lekarskie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podczas badania lekarskiego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I.11 (samopoczucie, choroby, ich objawy); II.5; IV.1; VI.3; VIII.1; X; XI</w:t>
            </w:r>
          </w:p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1-5/37, 11/59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1-5/48, 6-10/49, 11, 12/79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54-55, 84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der Apotheke. W aptece.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pytania o radę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zdania warunkowe z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wenn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rozmowę na temat zakupów w aptece i znajduje w niej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I.11 (leczenie); II.5; IV.1, IV.2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1-2/38, 12/59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1-6/50, 18/82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56-57, 84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der Apotheke. W aptece.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pytania o radę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dolegliwości i udziela rad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dolegliwości i sposobów leczenia oraz reaguje pisemnie na pytania związane z tym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I.11 (leczenie); IV.1; VI.3, VII.3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3-5/38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7-11/51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56-57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 leben. Zdrowy styl życia.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udzielania rad dotyczących zdrowego stylu życia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ustne i pisemne dotyczące zdrowego stylu życia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na temat zdrowego stylu życia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na temat zdrowego stylu życia, udziela rad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I.11 (samopoczucie, choroby, ich objawy); III.1, III.4; IV.5, V.5; X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1-5/52, 6-10/53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58-59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Bewegung gegen Stress. Ruch zamiast stresu.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opisywania trybu życia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czasowniki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sein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i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haben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, czasowniki modalne w czasie przeszłym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Präteritum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pisemne dotyczące trybu życia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na temat trybu życia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na temat trybu życia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I.10 (dyscypliny sportu); I.11 (samopoczucie), II.5, III.4; IV.1, IV.2; VI.3; X; XI; XII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1-5/40, 13/60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1-6/54, 7-11/55, 15/81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60-61, 85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Behindert ... Niepełnosprawni...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wyrażenia związane z niepełnosprawnością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artykuł na temat osoby niepełnosprawnej i znajduje w nim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na temat niepełnosprawnych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osób niepełnosprawnych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I.10 (dyscypliny sportu); III.4; IV.1, IV.2; VI.3, VI.5;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1-5/56, 6-10/57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62-63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val="de-DE"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val="de-DE" w:eastAsia="pl-PL"/>
              </w:rPr>
              <w:t>Einen Brief schreiben. / Pisanie listu.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słownictwo związane z pomaganiem starszym ludziom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czasownik modalny </w:t>
            </w:r>
            <w:r>
              <w:rPr>
                <w:rFonts w:cs="Verdana" w:ascii="Verdana" w:hAnsi="Verdana"/>
                <w:i/>
                <w:sz w:val="16"/>
                <w:szCs w:val="16"/>
                <w:lang w:eastAsia="pl-PL"/>
              </w:rPr>
              <w:t>können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treść listu prywatnego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: uczeń potrafi napisać list prywatny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w formie pisemnej reaguje na treść listu prywatnego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pisze list na podstawie wskazówek w języku polskim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(rodzina, znajomi, przyjaciele, formy spędzania czasu wolnego); I.2 (prace domowe); I.11 (samopoczucie); III.1, III.2; IV.5: V.1, V.2; VI.3, VI.5, VI.8; VII.4, VII.5, VII.13; VIII.2, VIII.3;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1-6/42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22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Przygotowanie do testu sprawdzającego - powtórzenie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43-44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58-59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Gesundheit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Test sprawdzający nr 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Als Austauschschüler in Berlin. Jako uczestnik wymiany szkolnej w Berlinie.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przygotowań do podróży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 przeszły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Perfekt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czasowników regularnych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pisemne na temat przygotowań do podróży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przygotowania do podróży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wolnego), I.8 (zwiedzanie); III.4; IV.1, IV.3; VIII.1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1-3/46, 14/60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1-4/60, 16/81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65-67, 85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Als Austauschschüler in Berlin. Jako uczestnik wymiany szkolnej w Berlinie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przygotowań do podróży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przygotowania do podróży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 I.5 (formy spędzania czasu wolnego), I.8 (zwiedzanie); III.4; IV.1, IV.2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4-5/46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5-10/61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65-67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Bei der Gastfamilie. U rodziny przyjmującej gościa. (1)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doświadczeń podczas pobytu za granicą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 przeszły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Perfekt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czasowników złożonych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temat pobytu na wymianie szkolnej, określa główną myśl jego fragmentów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wydarzenia po przyjeździe na nowe miejsce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wolnego); II.1, II.5; IV.2; VIII.1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1-3/47, 15/60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68-69, 85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Bei der Gastfamilie. U rodziny przyjmującej gościa. (2)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doświadczeń podczas pobytu za granicą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pobyt na wymianie szkolnej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pobytu na wymianie szkolnej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 I.5 (formy spędzania czasu wolnego); IV.2; VI.3, VI.5;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4-5/47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7-11/63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68-69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Meine letzten Ferien. Moje ostatnie wakcje.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aktywności podczas wakacji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 przeszły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Perfekt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czasowników nieregularnych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na temat pobytów wakacyjnych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pobyt wakacyjny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o wyjazdach wakacyjnych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wolnego), I.8 (zwiedzanie); II.5; IV.1, IV.2; VI.3, VII.3, VII.5; VIII.1; X;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1-6/48, 16/60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1-6/64, 7-11/65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70-71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Post aus den Ferien. Poczta z wakacji.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opisu wyjazdu wakacyjnego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pocztówki z wakacji,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ustnie i pisemnie pobyt wakacyjny i ustosunkowuje się do wysyłania kartek pocztowych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o wyjazdach wakacyjnych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wolnego), I.8 (zwiedzanie); III.4; IV.1, IV.2, V.1, V.2; VI.3, VI.5;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1-5/49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1-7/66, 8-11/67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72-73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Womit in die Ferien? Czym na wakacje?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nazwy środków transportu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wypowiedzi pisemne na temat środków transportu i znajduje w nich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preferowanych środków transportu, ich zalet i wad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rozmowy na temat podróżowania różnymi środkami transportu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I.8 (środki transportu i korzystanie z nich); III.1; IV.1, VI.3, VI.5; VIII.1;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1-5/50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1-6/68, 7-10/67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74-75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Meine Ferienpläne. Plany na wakacje.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słownictwo służące do opisywania planów wakacyjnych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liczebniki porządkowe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rozumie rozmowę na temat planów wakacyjnych i znajduje w niej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tworzy wypowiedzi na temat planów wakacyjnych i sposobów spędzania wakacji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rozmawia na temat planów wakacyjnych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I.8 (zwiedzanie); II.5; IV.1; VI.3, VI.5; XI; XII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1-6/51, 23/62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1-5/70, 6-8/71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76-77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val="de-DE"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val="de-DE" w:eastAsia="pl-PL"/>
              </w:rPr>
              <w:t>Eine Postkarte schreiben. / Pisanie kartki pocztowej.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słownictwo związane z wakacjami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czas przeszły </w:t>
            </w:r>
            <w:r>
              <w:rPr>
                <w:rFonts w:cs="Calibri" w:ascii="Verdana" w:hAnsi="Verdana"/>
                <w:i/>
                <w:sz w:val="16"/>
                <w:szCs w:val="16"/>
                <w:lang w:eastAsia="pl-PL"/>
              </w:rPr>
              <w:t>Perfekt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treść kartki pocztowej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: uczeń potrafi napisać kartkę pocztową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w formie pisemnej reaguje na treść kartki pocztowej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pisze kartkę pocztową na podstawie wskazówek w języku polskim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(rodzina, znajomi, przyjaciele, formy spędzania czasu wolnego); I.12 (pogoda); III.3, III.4; V.1, V2, V4, V6: IV.2; VI.3, VI.5; VII.1, VII.4, VII.5, VII.12, VII.13; VIII.2, VIII.3; XI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1-6/42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22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Przygotowanie do testu sprawdzającego - powtórzenie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53-54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72-73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Reisen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Test sprawdzający nr 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Omówienie testu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KB: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AH: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LHB: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Kulturlink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Projektwoche. Tydzień projektów.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życie szkoły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określone informacje w tekstach dotyczących projektów szkolnych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opowiada o udziale w projekcie szkolnym i pisze tekst zachęcający do udziału w projekcie szkolnym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rozmawia o projektach szkolnych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I.3 (życie szkoły); III.1, III.3; IV.1, IV.5; V.1, V.4, V.5; VIII.2; IX.1, IX.2; XI; XII; XIII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89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59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val="de-DE"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val="de-DE" w:eastAsia="pl-PL"/>
              </w:rPr>
              <w:t>Kulturlink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>Geburtstagswünsche. Życzenia urodzinowe.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święta i uroczystości rodzinne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określone informacje w tekście dotyczącym świąt i uroczystości rodzinnych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składa życzenia urodzinowe i na nie odpowiada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składa życzenia urodzinowe i na nie odpowiada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wolnego, urodziny, święta); III.4; V.6, V.7; VI.4, VI.5; VI.6; VII.6; VIII.2; IX.1, IX.2; XI; XII; XIII; XIV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89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Kulturlink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Kollege Hund. Mój kolega pies.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miejsce pracy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określone informacje w tekście dotyczącym miejsca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opowiada o miejscu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 xml:space="preserve">I.4 (miejsce pracy); III.1, III.4; IV.1, IV.2, IV.4, IV.5; X; XI; XIII 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89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Kulturlink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Etwas typisch Deutsches. Coś typowo niemieckiego.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prezenty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rozumie określone informacje w tekście dotyczącym miejsca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uczeń opowiada o miejscu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(znajomi i przyjaciele); III.1. III.2; III.4; IV.5; VI.5; IX.1, IX.2; XI; XIII; XIV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92</w:t>
            </w:r>
          </w:p>
        </w:tc>
      </w:tr>
      <w:tr>
        <w:trPr/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Kulturlink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val="de-DE" w:eastAsia="pl-PL"/>
              </w:rPr>
              <w:t xml:space="preserve">Ein Sonntag in Deutschland.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Niedziela w Niemczech. – Praca projektowa.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formy spędzania czasu wolnego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I.5 (formy spędzania czasu wolnego); IV.1, IV.2, IV.3, IV.4, IV.5; V.4; VIII. 2; IX.1, IX.2; XI; XII; XIII; XIV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Verdana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KB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72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AH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eastAsia="pl-PL"/>
              </w:rPr>
              <w:t>LHB</w:t>
            </w:r>
            <w:r>
              <w:rPr>
                <w:rFonts w:cs="Verdana" w:ascii="Verdana" w:hAnsi="Verdana"/>
                <w:sz w:val="16"/>
                <w:szCs w:val="16"/>
                <w:lang w:eastAsia="pl-PL"/>
              </w:rPr>
              <w:t>: 92</w:t>
            </w:r>
          </w:p>
        </w:tc>
      </w:tr>
    </w:tbl>
    <w:p>
      <w:pPr>
        <w:pStyle w:val="Normal"/>
        <w:spacing w:lineRule="atLeast" w:line="211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tLeast" w:line="211" w:before="0" w:after="200"/>
        <w:rPr>
          <w:rFonts w:ascii="Verdana" w:hAnsi="Verdana" w:cs="Verdana"/>
          <w:strike/>
          <w:sz w:val="16"/>
          <w:szCs w:val="16"/>
          <w:lang w:eastAsia="pl-PL"/>
        </w:rPr>
      </w:pPr>
      <w:r>
        <w:rPr>
          <w:rFonts w:cs="Verdana" w:ascii="Verdana" w:hAnsi="Verdana"/>
          <w:strike/>
          <w:sz w:val="16"/>
          <w:szCs w:val="16"/>
          <w:lang w:eastAsia="pl-PL"/>
        </w:rPr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2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1770" w:leader="none"/>
      </w:tabs>
      <w:rPr>
        <w:lang w:val="pl-PL" w:eastAsia="pl-PL"/>
      </w:rPr>
    </w:pPr>
    <w:r>
      <w:rPr>
        <w:lang w:val="pl-PL" w:eastAsia="pl-PL"/>
      </w:rPr>
      <w:drawing>
        <wp:inline distT="0" distB="0" distL="0" distR="0">
          <wp:extent cx="1259840" cy="5695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rFonts w:cs="Times New Roman"/>
      <w:color w:val="0000FF"/>
      <w:u w:val="single"/>
      <w:lang w:val="pl-PL"/>
    </w:rPr>
  </w:style>
  <w:style w:type="character" w:styleId="HeaderChar">
    <w:name w:val="Header Char"/>
    <w:qFormat/>
    <w:rPr>
      <w:rFonts w:cs="Times New Roman"/>
    </w:rPr>
  </w:style>
  <w:style w:type="character" w:styleId="FooterChar">
    <w:name w:val="Footer Char"/>
    <w:qFormat/>
    <w:rPr>
      <w:rFonts w:cs="Times New Roman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l">
    <w:name w:val="il"/>
    <w:qFormat/>
    <w:rPr>
      <w:rFonts w:cs="Times New Roman"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character" w:styleId="Appleconvertedspace">
    <w:name w:val="apple-converted-space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Domylnie">
    <w:name w:val="WW-Domyślnie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;宋体" w:cs="Times New Roman"/>
      <w:color w:val="auto"/>
      <w:sz w:val="22"/>
      <w:szCs w:val="22"/>
      <w:lang w:val="pl-PL" w:bidi="ar-SA" w:eastAsia="zh-CN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LibreOffice/5.0.4.2$Windows_X86_64 LibreOffice_project/2b9802c1994aa0b7dc6079e128979269cf95bc78</Application>
  <Paragraphs>871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2018-08-22T09:38:00Z</dcterms:created>
  <dc:creator>jakubero</dc:creator>
  <dc:language>pl-PL</dc:language>
  <cp:lastModifiedBy>Agnieszka Grzymala</cp:lastModifiedBy>
  <cp:lastPrinted>2018-02-28T10:53:00Z</cp:lastPrinted>
  <dcterms:modified xsi:type="dcterms:W3CDTF">2018-08-22T09:38:00Z</dcterms:modified>
  <cp:revision>3</cp:revision>
</cp:coreProperties>
</file>